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4206" w14:textId="77777777" w:rsidR="00386A2D" w:rsidRDefault="00A621A9" w:rsidP="00B04E40">
      <w:pPr>
        <w:pStyle w:val="ListParagraph"/>
        <w:numPr>
          <w:ilvl w:val="0"/>
          <w:numId w:val="1"/>
        </w:numPr>
        <w:tabs>
          <w:tab w:val="left" w:pos="567"/>
        </w:tabs>
        <w:spacing w:before="240"/>
        <w:ind w:left="567" w:hanging="567"/>
        <w:jc w:val="both"/>
      </w:pPr>
      <w:r>
        <w:t>In June 2021, the Queensland Government committed to the development of an energy plan</w:t>
      </w:r>
      <w:r>
        <w:rPr>
          <w:spacing w:val="-4"/>
        </w:rPr>
        <w:t xml:space="preserve"> </w:t>
      </w:r>
      <w:r>
        <w:t>for</w:t>
      </w:r>
      <w:r>
        <w:rPr>
          <w:spacing w:val="-5"/>
        </w:rPr>
        <w:t xml:space="preserve"> </w:t>
      </w:r>
      <w:r>
        <w:t>Queensland</w:t>
      </w:r>
      <w:r>
        <w:rPr>
          <w:spacing w:val="-9"/>
        </w:rPr>
        <w:t xml:space="preserve"> </w:t>
      </w:r>
      <w:r>
        <w:t>to</w:t>
      </w:r>
      <w:r>
        <w:rPr>
          <w:spacing w:val="-6"/>
        </w:rPr>
        <w:t xml:space="preserve"> </w:t>
      </w:r>
      <w:r>
        <w:t>outline</w:t>
      </w:r>
      <w:r>
        <w:rPr>
          <w:spacing w:val="-4"/>
        </w:rPr>
        <w:t xml:space="preserve"> </w:t>
      </w:r>
      <w:r>
        <w:t>the</w:t>
      </w:r>
      <w:r>
        <w:rPr>
          <w:spacing w:val="-5"/>
        </w:rPr>
        <w:t xml:space="preserve"> </w:t>
      </w:r>
      <w:r>
        <w:t>State’s</w:t>
      </w:r>
      <w:r>
        <w:rPr>
          <w:spacing w:val="-6"/>
        </w:rPr>
        <w:t xml:space="preserve"> </w:t>
      </w:r>
      <w:r>
        <w:t>pathway</w:t>
      </w:r>
      <w:r>
        <w:rPr>
          <w:spacing w:val="-6"/>
        </w:rPr>
        <w:t xml:space="preserve"> </w:t>
      </w:r>
      <w:r>
        <w:t>to</w:t>
      </w:r>
      <w:r>
        <w:rPr>
          <w:spacing w:val="-6"/>
        </w:rPr>
        <w:t xml:space="preserve"> </w:t>
      </w:r>
      <w:r>
        <w:t>achieve</w:t>
      </w:r>
      <w:r>
        <w:rPr>
          <w:spacing w:val="-6"/>
        </w:rPr>
        <w:t xml:space="preserve"> </w:t>
      </w:r>
      <w:r>
        <w:t>the</w:t>
      </w:r>
      <w:r>
        <w:rPr>
          <w:spacing w:val="-5"/>
        </w:rPr>
        <w:t xml:space="preserve"> </w:t>
      </w:r>
      <w:r>
        <w:t>50</w:t>
      </w:r>
      <w:r>
        <w:rPr>
          <w:spacing w:val="-6"/>
        </w:rPr>
        <w:t xml:space="preserve"> </w:t>
      </w:r>
      <w:r>
        <w:t>per</w:t>
      </w:r>
      <w:r>
        <w:rPr>
          <w:spacing w:val="-8"/>
        </w:rPr>
        <w:t xml:space="preserve"> </w:t>
      </w:r>
      <w:r>
        <w:t>cent</w:t>
      </w:r>
      <w:r>
        <w:rPr>
          <w:spacing w:val="-5"/>
        </w:rPr>
        <w:t xml:space="preserve"> </w:t>
      </w:r>
      <w:r>
        <w:t>Queensland Renewable Energy Target (QRET), position Queensland for clean industrial growth, and support new</w:t>
      </w:r>
      <w:r>
        <w:rPr>
          <w:spacing w:val="-5"/>
        </w:rPr>
        <w:t xml:space="preserve"> </w:t>
      </w:r>
      <w:r>
        <w:t>jobs.</w:t>
      </w:r>
    </w:p>
    <w:p w14:paraId="408BE224" w14:textId="77777777" w:rsidR="00386A2D" w:rsidRDefault="00A621A9" w:rsidP="00B04E40">
      <w:pPr>
        <w:pStyle w:val="ListParagraph"/>
        <w:numPr>
          <w:ilvl w:val="0"/>
          <w:numId w:val="1"/>
        </w:numPr>
        <w:tabs>
          <w:tab w:val="left" w:pos="567"/>
        </w:tabs>
        <w:spacing w:before="240"/>
        <w:ind w:left="567" w:hanging="567"/>
        <w:jc w:val="both"/>
      </w:pPr>
      <w:r>
        <w:t>The</w:t>
      </w:r>
      <w:r>
        <w:rPr>
          <w:spacing w:val="-4"/>
        </w:rPr>
        <w:t xml:space="preserve"> </w:t>
      </w:r>
      <w:r>
        <w:t>Queensland</w:t>
      </w:r>
      <w:r>
        <w:rPr>
          <w:spacing w:val="-5"/>
        </w:rPr>
        <w:t xml:space="preserve"> </w:t>
      </w:r>
      <w:r>
        <w:t>Energy</w:t>
      </w:r>
      <w:r>
        <w:rPr>
          <w:spacing w:val="-7"/>
        </w:rPr>
        <w:t xml:space="preserve"> </w:t>
      </w:r>
      <w:r>
        <w:t>and</w:t>
      </w:r>
      <w:r>
        <w:rPr>
          <w:spacing w:val="-3"/>
        </w:rPr>
        <w:t xml:space="preserve"> </w:t>
      </w:r>
      <w:r>
        <w:t>Jobs</w:t>
      </w:r>
      <w:r>
        <w:rPr>
          <w:spacing w:val="-3"/>
        </w:rPr>
        <w:t xml:space="preserve"> </w:t>
      </w:r>
      <w:r>
        <w:t>Plan</w:t>
      </w:r>
      <w:r>
        <w:rPr>
          <w:spacing w:val="-5"/>
        </w:rPr>
        <w:t xml:space="preserve"> </w:t>
      </w:r>
      <w:r>
        <w:t>sets</w:t>
      </w:r>
      <w:r>
        <w:rPr>
          <w:spacing w:val="-5"/>
        </w:rPr>
        <w:t xml:space="preserve"> </w:t>
      </w:r>
      <w:r>
        <w:t>a</w:t>
      </w:r>
      <w:r>
        <w:rPr>
          <w:spacing w:val="-5"/>
        </w:rPr>
        <w:t xml:space="preserve"> </w:t>
      </w:r>
      <w:r>
        <w:t>clear</w:t>
      </w:r>
      <w:r>
        <w:rPr>
          <w:spacing w:val="-2"/>
        </w:rPr>
        <w:t xml:space="preserve"> </w:t>
      </w:r>
      <w:r>
        <w:t>vision</w:t>
      </w:r>
      <w:r>
        <w:rPr>
          <w:spacing w:val="-5"/>
        </w:rPr>
        <w:t xml:space="preserve"> </w:t>
      </w:r>
      <w:r>
        <w:t>to</w:t>
      </w:r>
      <w:r>
        <w:rPr>
          <w:spacing w:val="-5"/>
        </w:rPr>
        <w:t xml:space="preserve"> </w:t>
      </w:r>
      <w:r>
        <w:t>transform</w:t>
      </w:r>
      <w:r>
        <w:rPr>
          <w:spacing w:val="-4"/>
        </w:rPr>
        <w:t xml:space="preserve"> </w:t>
      </w:r>
      <w:r>
        <w:t>the</w:t>
      </w:r>
      <w:r>
        <w:rPr>
          <w:spacing w:val="-5"/>
        </w:rPr>
        <w:t xml:space="preserve"> </w:t>
      </w:r>
      <w:r>
        <w:t>energy</w:t>
      </w:r>
      <w:r>
        <w:rPr>
          <w:spacing w:val="-5"/>
        </w:rPr>
        <w:t xml:space="preserve"> </w:t>
      </w:r>
      <w:r>
        <w:t>system and</w:t>
      </w:r>
      <w:r>
        <w:rPr>
          <w:spacing w:val="-8"/>
        </w:rPr>
        <w:t xml:space="preserve"> </w:t>
      </w:r>
      <w:r>
        <w:t>deliver</w:t>
      </w:r>
      <w:r>
        <w:rPr>
          <w:spacing w:val="-10"/>
        </w:rPr>
        <w:t xml:space="preserve"> </w:t>
      </w:r>
      <w:r>
        <w:t>clean,</w:t>
      </w:r>
      <w:r>
        <w:rPr>
          <w:spacing w:val="-9"/>
        </w:rPr>
        <w:t xml:space="preserve"> </w:t>
      </w:r>
      <w:r>
        <w:t>reliable</w:t>
      </w:r>
      <w:r>
        <w:rPr>
          <w:spacing w:val="-8"/>
        </w:rPr>
        <w:t xml:space="preserve"> </w:t>
      </w:r>
      <w:r>
        <w:t>and</w:t>
      </w:r>
      <w:r>
        <w:rPr>
          <w:spacing w:val="-11"/>
        </w:rPr>
        <w:t xml:space="preserve"> </w:t>
      </w:r>
      <w:r>
        <w:t>affordable</w:t>
      </w:r>
      <w:r>
        <w:rPr>
          <w:spacing w:val="-10"/>
        </w:rPr>
        <w:t xml:space="preserve"> </w:t>
      </w:r>
      <w:r>
        <w:t>power</w:t>
      </w:r>
      <w:r>
        <w:rPr>
          <w:spacing w:val="-10"/>
        </w:rPr>
        <w:t xml:space="preserve"> </w:t>
      </w:r>
      <w:r>
        <w:t>for</w:t>
      </w:r>
      <w:r>
        <w:rPr>
          <w:spacing w:val="-7"/>
        </w:rPr>
        <w:t xml:space="preserve"> </w:t>
      </w:r>
      <w:r>
        <w:t>generations.</w:t>
      </w:r>
      <w:r>
        <w:rPr>
          <w:spacing w:val="-7"/>
        </w:rPr>
        <w:t xml:space="preserve"> </w:t>
      </w:r>
      <w:r>
        <w:t>The</w:t>
      </w:r>
      <w:r>
        <w:rPr>
          <w:spacing w:val="-11"/>
        </w:rPr>
        <w:t xml:space="preserve"> </w:t>
      </w:r>
      <w:r>
        <w:t>optimal</w:t>
      </w:r>
      <w:r>
        <w:rPr>
          <w:spacing w:val="-9"/>
        </w:rPr>
        <w:t xml:space="preserve"> </w:t>
      </w:r>
      <w:r>
        <w:t>infrastructure pathway to achieve this is outlined in the Queensland ‘SuperGrid’ Infrastructure Blueprint (the</w:t>
      </w:r>
      <w:r>
        <w:rPr>
          <w:spacing w:val="-3"/>
        </w:rPr>
        <w:t xml:space="preserve"> </w:t>
      </w:r>
      <w:r>
        <w:t>Blueprint).</w:t>
      </w:r>
    </w:p>
    <w:p w14:paraId="348585A5" w14:textId="77777777" w:rsidR="00386A2D" w:rsidRDefault="00A621A9" w:rsidP="00B04E40">
      <w:pPr>
        <w:pStyle w:val="ListParagraph"/>
        <w:numPr>
          <w:ilvl w:val="0"/>
          <w:numId w:val="1"/>
        </w:numPr>
        <w:tabs>
          <w:tab w:val="left" w:pos="567"/>
        </w:tabs>
        <w:spacing w:before="240"/>
        <w:ind w:left="567" w:hanging="567"/>
        <w:jc w:val="both"/>
      </w:pPr>
      <w:r>
        <w:t>Independent</w:t>
      </w:r>
      <w:r>
        <w:rPr>
          <w:spacing w:val="-8"/>
        </w:rPr>
        <w:t xml:space="preserve"> </w:t>
      </w:r>
      <w:r>
        <w:t>modelling</w:t>
      </w:r>
      <w:r>
        <w:rPr>
          <w:spacing w:val="-7"/>
        </w:rPr>
        <w:t xml:space="preserve"> </w:t>
      </w:r>
      <w:r>
        <w:t>used</w:t>
      </w:r>
      <w:r>
        <w:rPr>
          <w:spacing w:val="-7"/>
        </w:rPr>
        <w:t xml:space="preserve"> </w:t>
      </w:r>
      <w:r>
        <w:t>to</w:t>
      </w:r>
      <w:r>
        <w:rPr>
          <w:spacing w:val="-10"/>
        </w:rPr>
        <w:t xml:space="preserve"> </w:t>
      </w:r>
      <w:r>
        <w:t>inform</w:t>
      </w:r>
      <w:r>
        <w:rPr>
          <w:spacing w:val="-9"/>
        </w:rPr>
        <w:t xml:space="preserve"> </w:t>
      </w:r>
      <w:r>
        <w:t>development</w:t>
      </w:r>
      <w:r>
        <w:rPr>
          <w:spacing w:val="-6"/>
        </w:rPr>
        <w:t xml:space="preserve"> </w:t>
      </w:r>
      <w:r>
        <w:t>of</w:t>
      </w:r>
      <w:r>
        <w:rPr>
          <w:spacing w:val="-8"/>
        </w:rPr>
        <w:t xml:space="preserve"> </w:t>
      </w:r>
      <w:r>
        <w:t>the</w:t>
      </w:r>
      <w:r>
        <w:rPr>
          <w:spacing w:val="-7"/>
        </w:rPr>
        <w:t xml:space="preserve"> </w:t>
      </w:r>
      <w:r>
        <w:t>Plan</w:t>
      </w:r>
      <w:r>
        <w:rPr>
          <w:spacing w:val="-10"/>
        </w:rPr>
        <w:t xml:space="preserve"> </w:t>
      </w:r>
      <w:r>
        <w:t>and</w:t>
      </w:r>
      <w:r>
        <w:rPr>
          <w:spacing w:val="-7"/>
        </w:rPr>
        <w:t xml:space="preserve"> </w:t>
      </w:r>
      <w:r>
        <w:t>Blueprint</w:t>
      </w:r>
      <w:r>
        <w:rPr>
          <w:spacing w:val="-6"/>
        </w:rPr>
        <w:t xml:space="preserve"> </w:t>
      </w:r>
      <w:r>
        <w:t>indicates</w:t>
      </w:r>
      <w:r>
        <w:rPr>
          <w:spacing w:val="-9"/>
        </w:rPr>
        <w:t xml:space="preserve"> </w:t>
      </w:r>
      <w:r>
        <w:t>the Plan will see Queensland achieve QRET two years early in 2028, and reach 70 per cent renewable energy in 2032 and 80 per cent in 2035. It will also reduce electricity sector emissions and make a substantial contribution to the State’s emissions reduction</w:t>
      </w:r>
      <w:r>
        <w:rPr>
          <w:spacing w:val="-34"/>
        </w:rPr>
        <w:t xml:space="preserve"> </w:t>
      </w:r>
      <w:r>
        <w:t>targets.</w:t>
      </w:r>
    </w:p>
    <w:p w14:paraId="1325E6CF" w14:textId="21D93CC0" w:rsidR="00386A2D" w:rsidRDefault="00A621A9" w:rsidP="00B04E40">
      <w:pPr>
        <w:pStyle w:val="ListParagraph"/>
        <w:numPr>
          <w:ilvl w:val="0"/>
          <w:numId w:val="1"/>
        </w:numPr>
        <w:tabs>
          <w:tab w:val="left" w:pos="567"/>
        </w:tabs>
        <w:spacing w:before="240"/>
        <w:ind w:left="567" w:hanging="567"/>
        <w:jc w:val="both"/>
      </w:pPr>
      <w:r>
        <w:t>The</w:t>
      </w:r>
      <w:r>
        <w:rPr>
          <w:spacing w:val="-13"/>
        </w:rPr>
        <w:t xml:space="preserve"> </w:t>
      </w:r>
      <w:r>
        <w:t>independent</w:t>
      </w:r>
      <w:r>
        <w:rPr>
          <w:spacing w:val="-13"/>
        </w:rPr>
        <w:t xml:space="preserve"> </w:t>
      </w:r>
      <w:r>
        <w:t>modelling</w:t>
      </w:r>
      <w:r>
        <w:rPr>
          <w:spacing w:val="-12"/>
        </w:rPr>
        <w:t xml:space="preserve"> </w:t>
      </w:r>
      <w:r>
        <w:t>also</w:t>
      </w:r>
      <w:r>
        <w:rPr>
          <w:spacing w:val="-12"/>
        </w:rPr>
        <w:t xml:space="preserve"> </w:t>
      </w:r>
      <w:r>
        <w:t>indicates</w:t>
      </w:r>
      <w:r>
        <w:rPr>
          <w:spacing w:val="-17"/>
        </w:rPr>
        <w:t xml:space="preserve"> </w:t>
      </w:r>
      <w:r>
        <w:t>the</w:t>
      </w:r>
      <w:r>
        <w:rPr>
          <w:spacing w:val="-12"/>
        </w:rPr>
        <w:t xml:space="preserve"> </w:t>
      </w:r>
      <w:r>
        <w:t>Plan</w:t>
      </w:r>
      <w:r>
        <w:rPr>
          <w:spacing w:val="-12"/>
        </w:rPr>
        <w:t xml:space="preserve"> </w:t>
      </w:r>
      <w:r>
        <w:t>could</w:t>
      </w:r>
      <w:r>
        <w:rPr>
          <w:spacing w:val="-12"/>
        </w:rPr>
        <w:t xml:space="preserve"> </w:t>
      </w:r>
      <w:r>
        <w:t>support</w:t>
      </w:r>
      <w:r>
        <w:rPr>
          <w:spacing w:val="-13"/>
        </w:rPr>
        <w:t xml:space="preserve"> </w:t>
      </w:r>
      <w:r w:rsidR="4D56E789">
        <w:rPr>
          <w:spacing w:val="-13"/>
        </w:rPr>
        <w:t xml:space="preserve">approximately </w:t>
      </w:r>
      <w:r>
        <w:t>64,000</w:t>
      </w:r>
      <w:r>
        <w:rPr>
          <w:spacing w:val="-15"/>
        </w:rPr>
        <w:t xml:space="preserve"> </w:t>
      </w:r>
      <w:r>
        <w:t>direct</w:t>
      </w:r>
      <w:r>
        <w:rPr>
          <w:spacing w:val="-13"/>
        </w:rPr>
        <w:t xml:space="preserve"> </w:t>
      </w:r>
      <w:r>
        <w:t>and</w:t>
      </w:r>
      <w:r>
        <w:rPr>
          <w:spacing w:val="-15"/>
        </w:rPr>
        <w:t xml:space="preserve"> </w:t>
      </w:r>
      <w:r>
        <w:t>indirect jobs</w:t>
      </w:r>
      <w:r>
        <w:rPr>
          <w:spacing w:val="-11"/>
        </w:rPr>
        <w:t xml:space="preserve"> </w:t>
      </w:r>
      <w:r>
        <w:t>associated</w:t>
      </w:r>
      <w:r>
        <w:rPr>
          <w:spacing w:val="-11"/>
        </w:rPr>
        <w:t xml:space="preserve"> </w:t>
      </w:r>
      <w:r>
        <w:t>with</w:t>
      </w:r>
      <w:r>
        <w:rPr>
          <w:spacing w:val="-11"/>
        </w:rPr>
        <w:t xml:space="preserve"> </w:t>
      </w:r>
      <w:r>
        <w:t>the</w:t>
      </w:r>
      <w:r>
        <w:rPr>
          <w:spacing w:val="-11"/>
        </w:rPr>
        <w:t xml:space="preserve"> </w:t>
      </w:r>
      <w:r>
        <w:t>investment</w:t>
      </w:r>
      <w:r>
        <w:rPr>
          <w:spacing w:val="-9"/>
        </w:rPr>
        <w:t xml:space="preserve"> </w:t>
      </w:r>
      <w:r>
        <w:t>in</w:t>
      </w:r>
      <w:r>
        <w:rPr>
          <w:spacing w:val="-11"/>
        </w:rPr>
        <w:t xml:space="preserve"> </w:t>
      </w:r>
      <w:r>
        <w:t>the</w:t>
      </w:r>
      <w:r>
        <w:rPr>
          <w:spacing w:val="-14"/>
        </w:rPr>
        <w:t xml:space="preserve"> </w:t>
      </w:r>
      <w:r>
        <w:t>Plan</w:t>
      </w:r>
      <w:r>
        <w:rPr>
          <w:spacing w:val="-11"/>
        </w:rPr>
        <w:t xml:space="preserve"> </w:t>
      </w:r>
      <w:r>
        <w:t>and</w:t>
      </w:r>
      <w:r>
        <w:rPr>
          <w:spacing w:val="-10"/>
        </w:rPr>
        <w:t xml:space="preserve"> </w:t>
      </w:r>
      <w:r>
        <w:t>around</w:t>
      </w:r>
      <w:r>
        <w:rPr>
          <w:spacing w:val="-11"/>
        </w:rPr>
        <w:t xml:space="preserve"> </w:t>
      </w:r>
      <w:r>
        <w:t>36,000</w:t>
      </w:r>
      <w:r>
        <w:rPr>
          <w:spacing w:val="-11"/>
        </w:rPr>
        <w:t xml:space="preserve"> </w:t>
      </w:r>
      <w:r>
        <w:t>more</w:t>
      </w:r>
      <w:r>
        <w:rPr>
          <w:spacing w:val="-11"/>
        </w:rPr>
        <w:t xml:space="preserve"> </w:t>
      </w:r>
      <w:r>
        <w:t>direct</w:t>
      </w:r>
      <w:r>
        <w:rPr>
          <w:spacing w:val="-10"/>
        </w:rPr>
        <w:t xml:space="preserve"> </w:t>
      </w:r>
      <w:r>
        <w:t>and</w:t>
      </w:r>
      <w:r>
        <w:rPr>
          <w:spacing w:val="-10"/>
        </w:rPr>
        <w:t xml:space="preserve"> </w:t>
      </w:r>
      <w:r>
        <w:t>indirect jobs from the additional economic activity than without a</w:t>
      </w:r>
      <w:r>
        <w:rPr>
          <w:spacing w:val="-13"/>
        </w:rPr>
        <w:t xml:space="preserve"> </w:t>
      </w:r>
      <w:r>
        <w:t>Plan.</w:t>
      </w:r>
    </w:p>
    <w:p w14:paraId="186BEF8B" w14:textId="77777777" w:rsidR="00386A2D" w:rsidRDefault="00A621A9" w:rsidP="00B04E40">
      <w:pPr>
        <w:pStyle w:val="ListParagraph"/>
        <w:numPr>
          <w:ilvl w:val="0"/>
          <w:numId w:val="1"/>
        </w:numPr>
        <w:tabs>
          <w:tab w:val="left" w:pos="567"/>
        </w:tabs>
        <w:spacing w:before="240"/>
        <w:ind w:left="567" w:hanging="567"/>
        <w:jc w:val="both"/>
      </w:pPr>
      <w:r>
        <w:t>Extensive</w:t>
      </w:r>
      <w:r>
        <w:rPr>
          <w:spacing w:val="-7"/>
        </w:rPr>
        <w:t xml:space="preserve"> </w:t>
      </w:r>
      <w:r>
        <w:t>modelling,</w:t>
      </w:r>
      <w:r>
        <w:rPr>
          <w:spacing w:val="-4"/>
        </w:rPr>
        <w:t xml:space="preserve"> </w:t>
      </w:r>
      <w:r>
        <w:t>analysis,</w:t>
      </w:r>
      <w:r>
        <w:rPr>
          <w:spacing w:val="-4"/>
        </w:rPr>
        <w:t xml:space="preserve"> </w:t>
      </w:r>
      <w:r>
        <w:t>and</w:t>
      </w:r>
      <w:r>
        <w:rPr>
          <w:spacing w:val="-5"/>
        </w:rPr>
        <w:t xml:space="preserve"> </w:t>
      </w:r>
      <w:r>
        <w:t>consultation</w:t>
      </w:r>
      <w:r>
        <w:rPr>
          <w:spacing w:val="-5"/>
        </w:rPr>
        <w:t xml:space="preserve"> </w:t>
      </w:r>
      <w:r>
        <w:t>has</w:t>
      </w:r>
      <w:r>
        <w:rPr>
          <w:spacing w:val="-4"/>
        </w:rPr>
        <w:t xml:space="preserve"> </w:t>
      </w:r>
      <w:r>
        <w:t>informed</w:t>
      </w:r>
      <w:r>
        <w:rPr>
          <w:spacing w:val="-7"/>
        </w:rPr>
        <w:t xml:space="preserve"> </w:t>
      </w:r>
      <w:r>
        <w:t>the</w:t>
      </w:r>
      <w:r>
        <w:rPr>
          <w:spacing w:val="-5"/>
        </w:rPr>
        <w:t xml:space="preserve"> </w:t>
      </w:r>
      <w:r>
        <w:t>development</w:t>
      </w:r>
      <w:r>
        <w:rPr>
          <w:spacing w:val="-4"/>
        </w:rPr>
        <w:t xml:space="preserve"> </w:t>
      </w:r>
      <w:r>
        <w:t>of</w:t>
      </w:r>
      <w:r>
        <w:rPr>
          <w:spacing w:val="-6"/>
        </w:rPr>
        <w:t xml:space="preserve"> </w:t>
      </w:r>
      <w:r>
        <w:t>the</w:t>
      </w:r>
      <w:r>
        <w:rPr>
          <w:spacing w:val="-6"/>
        </w:rPr>
        <w:t xml:space="preserve"> </w:t>
      </w:r>
      <w:r>
        <w:t>Plan and associated documents, including the</w:t>
      </w:r>
      <w:r>
        <w:rPr>
          <w:spacing w:val="-7"/>
        </w:rPr>
        <w:t xml:space="preserve"> </w:t>
      </w:r>
      <w:r>
        <w:t>Blueprint.</w:t>
      </w:r>
    </w:p>
    <w:p w14:paraId="21E752AA" w14:textId="77777777" w:rsidR="00386A2D" w:rsidRDefault="00A621A9" w:rsidP="00B04E40">
      <w:pPr>
        <w:pStyle w:val="ListParagraph"/>
        <w:numPr>
          <w:ilvl w:val="0"/>
          <w:numId w:val="1"/>
        </w:numPr>
        <w:tabs>
          <w:tab w:val="left" w:pos="567"/>
        </w:tabs>
        <w:spacing w:before="240"/>
        <w:ind w:left="567" w:hanging="567"/>
        <w:jc w:val="both"/>
      </w:pPr>
      <w:r>
        <w:rPr>
          <w:spacing w:val="-4"/>
          <w:u w:val="single"/>
        </w:rPr>
        <w:t>Cabinet approved</w:t>
      </w:r>
      <w:r>
        <w:rPr>
          <w:spacing w:val="-4"/>
        </w:rPr>
        <w:t xml:space="preserve"> </w:t>
      </w:r>
      <w:r>
        <w:t xml:space="preserve">the </w:t>
      </w:r>
      <w:r>
        <w:rPr>
          <w:spacing w:val="-4"/>
        </w:rPr>
        <w:t xml:space="preserve">Queensland Energy </w:t>
      </w:r>
      <w:r>
        <w:t xml:space="preserve">and </w:t>
      </w:r>
      <w:r>
        <w:rPr>
          <w:spacing w:val="-4"/>
        </w:rPr>
        <w:t>Jobs</w:t>
      </w:r>
      <w:r>
        <w:rPr>
          <w:spacing w:val="-25"/>
        </w:rPr>
        <w:t xml:space="preserve"> </w:t>
      </w:r>
      <w:r>
        <w:rPr>
          <w:spacing w:val="-4"/>
        </w:rPr>
        <w:t>Plan.</w:t>
      </w:r>
    </w:p>
    <w:p w14:paraId="391BAFD4" w14:textId="77777777" w:rsidR="00386A2D" w:rsidRDefault="00A621A9" w:rsidP="00B04E40">
      <w:pPr>
        <w:pStyle w:val="ListParagraph"/>
        <w:numPr>
          <w:ilvl w:val="0"/>
          <w:numId w:val="1"/>
        </w:numPr>
        <w:tabs>
          <w:tab w:val="left" w:pos="567"/>
        </w:tabs>
        <w:spacing w:before="240"/>
        <w:ind w:left="567" w:hanging="567"/>
        <w:jc w:val="both"/>
      </w:pPr>
      <w:r>
        <w:rPr>
          <w:u w:val="single"/>
        </w:rPr>
        <w:t>Cabinet approved</w:t>
      </w:r>
      <w:r>
        <w:t xml:space="preserve"> the Queensland ‘SuperGrid’ Infrastructure</w:t>
      </w:r>
      <w:r>
        <w:rPr>
          <w:spacing w:val="-9"/>
        </w:rPr>
        <w:t xml:space="preserve"> </w:t>
      </w:r>
      <w:r>
        <w:t>Blueprint.</w:t>
      </w:r>
    </w:p>
    <w:p w14:paraId="70F7798A" w14:textId="77777777" w:rsidR="00386A2D" w:rsidRDefault="00A621A9" w:rsidP="00B04E40">
      <w:pPr>
        <w:pStyle w:val="ListParagraph"/>
        <w:numPr>
          <w:ilvl w:val="0"/>
          <w:numId w:val="1"/>
        </w:numPr>
        <w:tabs>
          <w:tab w:val="left" w:pos="567"/>
        </w:tabs>
        <w:spacing w:before="240"/>
        <w:ind w:left="567" w:hanging="567"/>
        <w:jc w:val="both"/>
      </w:pPr>
      <w:r>
        <w:rPr>
          <w:u w:val="single"/>
        </w:rPr>
        <w:t>Cabinet approved</w:t>
      </w:r>
      <w:r>
        <w:t xml:space="preserve"> public release of the Queensland Energy and Jobs Plan, the Queensland ‘SuperGrid’ Infrastructure Blueprint, and associated analysis and</w:t>
      </w:r>
      <w:r>
        <w:rPr>
          <w:spacing w:val="-29"/>
        </w:rPr>
        <w:t xml:space="preserve"> </w:t>
      </w:r>
      <w:r>
        <w:t>materials.</w:t>
      </w:r>
    </w:p>
    <w:p w14:paraId="223A7E19" w14:textId="77777777" w:rsidR="00386A2D" w:rsidRDefault="00A621A9" w:rsidP="00B04E40">
      <w:pPr>
        <w:pStyle w:val="ListParagraph"/>
        <w:numPr>
          <w:ilvl w:val="0"/>
          <w:numId w:val="1"/>
        </w:numPr>
        <w:tabs>
          <w:tab w:val="left" w:pos="567"/>
        </w:tabs>
        <w:spacing w:before="240"/>
        <w:ind w:left="567" w:hanging="567"/>
        <w:jc w:val="both"/>
      </w:pPr>
      <w:r w:rsidRPr="08EA2B6A">
        <w:rPr>
          <w:u w:val="single"/>
        </w:rPr>
        <w:t>Cabinet approved</w:t>
      </w:r>
      <w:r>
        <w:t xml:space="preserve"> the Government’s objective for public ownership in the energy sector.</w:t>
      </w:r>
    </w:p>
    <w:p w14:paraId="732E29C8" w14:textId="3D09F7FF" w:rsidR="00386A2D" w:rsidRDefault="00A621A9" w:rsidP="00B04E40">
      <w:pPr>
        <w:pStyle w:val="ListParagraph"/>
        <w:numPr>
          <w:ilvl w:val="0"/>
          <w:numId w:val="1"/>
        </w:numPr>
        <w:tabs>
          <w:tab w:val="left" w:pos="567"/>
        </w:tabs>
        <w:spacing w:before="360"/>
        <w:ind w:left="567" w:hanging="567"/>
        <w:jc w:val="both"/>
        <w:rPr>
          <w:i/>
        </w:rPr>
      </w:pPr>
      <w:r w:rsidRPr="5EA0EB1D">
        <w:rPr>
          <w:i/>
          <w:iCs/>
          <w:u w:val="single"/>
        </w:rPr>
        <w:t>Attachments</w:t>
      </w:r>
      <w:r w:rsidR="00AE35EE">
        <w:t>:</w:t>
      </w:r>
    </w:p>
    <w:p w14:paraId="4D05CA74" w14:textId="0831F82E" w:rsidR="00386A2D" w:rsidRDefault="00EF6094" w:rsidP="00B04E40">
      <w:pPr>
        <w:pStyle w:val="ListParagraph"/>
        <w:numPr>
          <w:ilvl w:val="1"/>
          <w:numId w:val="1"/>
        </w:numPr>
        <w:tabs>
          <w:tab w:val="left" w:pos="1135"/>
          <w:tab w:val="left" w:pos="1136"/>
        </w:tabs>
        <w:spacing w:before="120"/>
        <w:ind w:left="1134" w:hanging="567"/>
        <w:jc w:val="both"/>
      </w:pPr>
      <w:hyperlink r:id="rId10" w:history="1">
        <w:r w:rsidR="00A621A9" w:rsidRPr="006B0D0C">
          <w:rPr>
            <w:rStyle w:val="Hyperlink"/>
          </w:rPr>
          <w:t>Queensland Energy and Jobs</w:t>
        </w:r>
        <w:r w:rsidR="00A621A9" w:rsidRPr="006B0D0C">
          <w:rPr>
            <w:rStyle w:val="Hyperlink"/>
            <w:spacing w:val="-3"/>
          </w:rPr>
          <w:t xml:space="preserve"> </w:t>
        </w:r>
        <w:r w:rsidR="00A621A9" w:rsidRPr="006B0D0C">
          <w:rPr>
            <w:rStyle w:val="Hyperlink"/>
          </w:rPr>
          <w:t>Plan</w:t>
        </w:r>
      </w:hyperlink>
    </w:p>
    <w:p w14:paraId="72349416" w14:textId="06FB33FF" w:rsidR="00386A2D" w:rsidRDefault="00EF6094" w:rsidP="00B04E40">
      <w:pPr>
        <w:pStyle w:val="ListParagraph"/>
        <w:numPr>
          <w:ilvl w:val="1"/>
          <w:numId w:val="1"/>
        </w:numPr>
        <w:tabs>
          <w:tab w:val="left" w:pos="1135"/>
          <w:tab w:val="left" w:pos="1136"/>
        </w:tabs>
        <w:spacing w:before="120"/>
        <w:ind w:left="1134" w:hanging="567"/>
        <w:jc w:val="both"/>
      </w:pPr>
      <w:hyperlink r:id="rId11" w:history="1">
        <w:r w:rsidR="00A621A9" w:rsidRPr="006B0D0C">
          <w:rPr>
            <w:rStyle w:val="Hyperlink"/>
          </w:rPr>
          <w:t>Queensland ‘SuperGrid’ Infrastructure</w:t>
        </w:r>
        <w:r w:rsidR="00A621A9" w:rsidRPr="006B0D0C">
          <w:rPr>
            <w:rStyle w:val="Hyperlink"/>
            <w:spacing w:val="-3"/>
          </w:rPr>
          <w:t xml:space="preserve"> </w:t>
        </w:r>
        <w:r w:rsidR="00A621A9" w:rsidRPr="006B0D0C">
          <w:rPr>
            <w:rStyle w:val="Hyperlink"/>
          </w:rPr>
          <w:t>Blueprint</w:t>
        </w:r>
      </w:hyperlink>
    </w:p>
    <w:p w14:paraId="662208ED" w14:textId="3B87406F" w:rsidR="00386A2D" w:rsidRDefault="00A621A9" w:rsidP="00B04E40">
      <w:pPr>
        <w:pStyle w:val="ListParagraph"/>
        <w:numPr>
          <w:ilvl w:val="1"/>
          <w:numId w:val="1"/>
        </w:numPr>
        <w:tabs>
          <w:tab w:val="left" w:pos="1135"/>
          <w:tab w:val="left" w:pos="1136"/>
        </w:tabs>
        <w:spacing w:before="120"/>
        <w:ind w:left="1134" w:hanging="567"/>
        <w:jc w:val="both"/>
      </w:pPr>
      <w:r>
        <w:t>Associated analysis and</w:t>
      </w:r>
      <w:r>
        <w:rPr>
          <w:spacing w:val="-4"/>
        </w:rPr>
        <w:t xml:space="preserve"> </w:t>
      </w:r>
      <w:r>
        <w:t>materials</w:t>
      </w:r>
    </w:p>
    <w:p w14:paraId="4EBFA742" w14:textId="4016C7C3" w:rsidR="00532AF5" w:rsidRDefault="00EF6094" w:rsidP="00B04E40">
      <w:pPr>
        <w:pStyle w:val="ListParagraph"/>
        <w:numPr>
          <w:ilvl w:val="0"/>
          <w:numId w:val="2"/>
        </w:numPr>
        <w:spacing w:before="120"/>
        <w:ind w:left="1701" w:hanging="567"/>
        <w:jc w:val="both"/>
      </w:pPr>
      <w:hyperlink r:id="rId12" w:history="1">
        <w:r w:rsidR="008101CF" w:rsidRPr="006B0D0C">
          <w:rPr>
            <w:rStyle w:val="Hyperlink"/>
          </w:rPr>
          <w:t>Queensland Energy and Jobs Plan: Summary Report</w:t>
        </w:r>
      </w:hyperlink>
    </w:p>
    <w:p w14:paraId="5C4C0B73" w14:textId="43773192" w:rsidR="00532AF5" w:rsidRDefault="00EF6094" w:rsidP="00B04E40">
      <w:pPr>
        <w:pStyle w:val="ListParagraph"/>
        <w:numPr>
          <w:ilvl w:val="0"/>
          <w:numId w:val="2"/>
        </w:numPr>
        <w:spacing w:before="120"/>
        <w:ind w:left="1701" w:hanging="567"/>
        <w:jc w:val="both"/>
      </w:pPr>
      <w:hyperlink r:id="rId13" w:history="1">
        <w:r w:rsidR="008101CF" w:rsidRPr="006B0D0C">
          <w:rPr>
            <w:rStyle w:val="Hyperlink"/>
          </w:rPr>
          <w:t>Queensland Energy and Jobs Plan: electricity market and economic modelling outcomes</w:t>
        </w:r>
      </w:hyperlink>
    </w:p>
    <w:p w14:paraId="50EE8B8B" w14:textId="3CCFD3F7" w:rsidR="00532AF5" w:rsidRDefault="00EF6094" w:rsidP="00B04E40">
      <w:pPr>
        <w:pStyle w:val="ListParagraph"/>
        <w:numPr>
          <w:ilvl w:val="0"/>
          <w:numId w:val="2"/>
        </w:numPr>
        <w:spacing w:before="120"/>
        <w:ind w:left="1701" w:hanging="567"/>
        <w:jc w:val="both"/>
      </w:pPr>
      <w:hyperlink r:id="rId14" w:history="1">
        <w:r w:rsidR="008101CF" w:rsidRPr="006B0D0C">
          <w:rPr>
            <w:rStyle w:val="Hyperlink"/>
          </w:rPr>
          <w:t>Queensland Energy and Jobs Plan: A Plan for Greener Growth</w:t>
        </w:r>
      </w:hyperlink>
    </w:p>
    <w:sectPr w:rsidR="00532AF5" w:rsidSect="008101CF">
      <w:headerReference w:type="even" r:id="rId15"/>
      <w:headerReference w:type="default" r:id="rId16"/>
      <w:headerReference w:type="first" r:id="rId17"/>
      <w:type w:val="continuous"/>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03DB" w14:textId="77777777" w:rsidR="00AD5B68" w:rsidRDefault="00AD5B68" w:rsidP="00AE35EE">
      <w:r>
        <w:separator/>
      </w:r>
    </w:p>
  </w:endnote>
  <w:endnote w:type="continuationSeparator" w:id="0">
    <w:p w14:paraId="3D9E01A5" w14:textId="77777777" w:rsidR="00AD5B68" w:rsidRDefault="00AD5B68" w:rsidP="00AE35EE">
      <w:r>
        <w:continuationSeparator/>
      </w:r>
    </w:p>
  </w:endnote>
  <w:endnote w:type="continuationNotice" w:id="1">
    <w:p w14:paraId="4FE5578E" w14:textId="77777777" w:rsidR="00AD5B68" w:rsidRDefault="00AD5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C3DAF" w14:textId="77777777" w:rsidR="00AD5B68" w:rsidRDefault="00AD5B68" w:rsidP="00AE35EE">
      <w:r>
        <w:separator/>
      </w:r>
    </w:p>
  </w:footnote>
  <w:footnote w:type="continuationSeparator" w:id="0">
    <w:p w14:paraId="31AD16A2" w14:textId="77777777" w:rsidR="00AD5B68" w:rsidRDefault="00AD5B68" w:rsidP="00AE35EE">
      <w:r>
        <w:continuationSeparator/>
      </w:r>
    </w:p>
  </w:footnote>
  <w:footnote w:type="continuationNotice" w:id="1">
    <w:p w14:paraId="2A7A8CA9" w14:textId="77777777" w:rsidR="00AD5B68" w:rsidRDefault="00AD5B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B97E" w14:textId="6EF93886" w:rsidR="00EF6094" w:rsidRDefault="00EF6094">
    <w:pPr>
      <w:pStyle w:val="Header"/>
    </w:pPr>
    <w:r>
      <w:rPr>
        <w:noProof/>
      </w:rPr>
      <mc:AlternateContent>
        <mc:Choice Requires="wps">
          <w:drawing>
            <wp:anchor distT="0" distB="0" distL="0" distR="0" simplePos="0" relativeHeight="251659264" behindDoc="0" locked="0" layoutInCell="1" allowOverlap="1" wp14:anchorId="69FA5008" wp14:editId="17FBD787">
              <wp:simplePos x="635" y="635"/>
              <wp:positionH relativeFrom="page">
                <wp:align>center</wp:align>
              </wp:positionH>
              <wp:positionV relativeFrom="page">
                <wp:align>top</wp:align>
              </wp:positionV>
              <wp:extent cx="443865" cy="443865"/>
              <wp:effectExtent l="0" t="0" r="14605" b="13970"/>
              <wp:wrapNone/>
              <wp:docPr id="716956500"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3021BB" w14:textId="338ADC8D" w:rsidR="00EF6094" w:rsidRPr="00EF6094" w:rsidRDefault="00EF6094" w:rsidP="00EF6094">
                          <w:pPr>
                            <w:rPr>
                              <w:rFonts w:ascii="Calibri" w:eastAsia="Calibri" w:hAnsi="Calibri" w:cs="Calibri"/>
                              <w:noProof/>
                              <w:color w:val="008000"/>
                              <w:sz w:val="40"/>
                              <w:szCs w:val="40"/>
                            </w:rPr>
                          </w:pPr>
                          <w:r w:rsidRPr="00EF6094">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9FA5008"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4A3021BB" w14:textId="338ADC8D" w:rsidR="00EF6094" w:rsidRPr="00EF6094" w:rsidRDefault="00EF6094" w:rsidP="00EF6094">
                    <w:pPr>
                      <w:rPr>
                        <w:rFonts w:ascii="Calibri" w:eastAsia="Calibri" w:hAnsi="Calibri" w:cs="Calibri"/>
                        <w:noProof/>
                        <w:color w:val="008000"/>
                        <w:sz w:val="40"/>
                        <w:szCs w:val="40"/>
                      </w:rPr>
                    </w:pPr>
                    <w:r w:rsidRPr="00EF6094">
                      <w:rPr>
                        <w:rFonts w:ascii="Calibri" w:eastAsia="Calibri" w:hAnsi="Calibri" w:cs="Calibri"/>
                        <w:noProof/>
                        <w:color w:val="008000"/>
                        <w:sz w:val="40"/>
                        <w:szCs w:val="4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AD89" w14:textId="0532815F" w:rsidR="00AE35EE" w:rsidRPr="00937A4A" w:rsidRDefault="00EF6094" w:rsidP="00AE35EE">
    <w:pPr>
      <w:pBdr>
        <w:top w:val="thinThickLargeGap" w:sz="24" w:space="4" w:color="auto"/>
        <w:left w:val="thinThickLargeGap" w:sz="24" w:space="4" w:color="auto"/>
        <w:bottom w:val="thickThinLargeGap" w:sz="24" w:space="4" w:color="auto"/>
        <w:right w:val="thickThinLargeGap" w:sz="24" w:space="4" w:color="auto"/>
      </w:pBdr>
      <w:jc w:val="center"/>
      <w:rPr>
        <w:b/>
        <w:sz w:val="28"/>
        <w:lang w:eastAsia="en-US"/>
      </w:rPr>
    </w:pPr>
    <w:r>
      <w:rPr>
        <w:b/>
        <w:noProof/>
        <w:sz w:val="28"/>
        <w:lang w:eastAsia="en-US"/>
      </w:rPr>
      <mc:AlternateContent>
        <mc:Choice Requires="wps">
          <w:drawing>
            <wp:anchor distT="0" distB="0" distL="0" distR="0" simplePos="0" relativeHeight="251660288" behindDoc="0" locked="0" layoutInCell="1" allowOverlap="1" wp14:anchorId="7D99CC3C" wp14:editId="67830B8B">
              <wp:simplePos x="635" y="635"/>
              <wp:positionH relativeFrom="page">
                <wp:align>center</wp:align>
              </wp:positionH>
              <wp:positionV relativeFrom="page">
                <wp:align>top</wp:align>
              </wp:positionV>
              <wp:extent cx="443865" cy="443865"/>
              <wp:effectExtent l="0" t="0" r="14605" b="13970"/>
              <wp:wrapNone/>
              <wp:docPr id="1507438212"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FC284" w14:textId="20360A90" w:rsidR="00EF6094" w:rsidRPr="00EF6094" w:rsidRDefault="00EF6094" w:rsidP="00EF6094">
                          <w:pPr>
                            <w:rPr>
                              <w:rFonts w:ascii="Calibri" w:eastAsia="Calibri" w:hAnsi="Calibri" w:cs="Calibri"/>
                              <w:noProof/>
                              <w:color w:val="008000"/>
                              <w:sz w:val="40"/>
                              <w:szCs w:val="40"/>
                            </w:rPr>
                          </w:pPr>
                          <w:r w:rsidRPr="00EF6094">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D99CC3C"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1DFC284" w14:textId="20360A90" w:rsidR="00EF6094" w:rsidRPr="00EF6094" w:rsidRDefault="00EF6094" w:rsidP="00EF6094">
                    <w:pPr>
                      <w:rPr>
                        <w:rFonts w:ascii="Calibri" w:eastAsia="Calibri" w:hAnsi="Calibri" w:cs="Calibri"/>
                        <w:noProof/>
                        <w:color w:val="008000"/>
                        <w:sz w:val="40"/>
                        <w:szCs w:val="40"/>
                      </w:rPr>
                    </w:pPr>
                    <w:r w:rsidRPr="00EF6094">
                      <w:rPr>
                        <w:rFonts w:ascii="Calibri" w:eastAsia="Calibri" w:hAnsi="Calibri" w:cs="Calibri"/>
                        <w:noProof/>
                        <w:color w:val="008000"/>
                        <w:sz w:val="40"/>
                        <w:szCs w:val="40"/>
                      </w:rPr>
                      <w:t>OFFICIAL</w:t>
                    </w:r>
                  </w:p>
                </w:txbxContent>
              </v:textbox>
              <w10:wrap anchorx="page" anchory="page"/>
            </v:shape>
          </w:pict>
        </mc:Fallback>
      </mc:AlternateContent>
    </w:r>
    <w:r w:rsidR="00AE35EE" w:rsidRPr="00937A4A">
      <w:rPr>
        <w:b/>
        <w:sz w:val="28"/>
        <w:lang w:eastAsia="en-US"/>
      </w:rPr>
      <w:t>Queensland Government</w:t>
    </w:r>
  </w:p>
  <w:p w14:paraId="460D422D" w14:textId="77777777" w:rsidR="00AE35EE" w:rsidRPr="00937A4A" w:rsidRDefault="00AE35EE" w:rsidP="00AE35EE">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lang w:eastAsia="en-US"/>
      </w:rPr>
    </w:pPr>
  </w:p>
  <w:p w14:paraId="05B09749" w14:textId="6C6156B2" w:rsidR="00AE35EE" w:rsidRPr="00937A4A" w:rsidRDefault="00AE35EE" w:rsidP="00AE35EE">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lang w:eastAsia="en-US"/>
      </w:rPr>
    </w:pPr>
    <w:r w:rsidRPr="00937A4A">
      <w:rPr>
        <w:b/>
        <w:lang w:eastAsia="en-US"/>
      </w:rPr>
      <w:t xml:space="preserve">Cabinet – </w:t>
    </w:r>
    <w:r>
      <w:rPr>
        <w:b/>
        <w:lang w:eastAsia="en-US"/>
      </w:rPr>
      <w:t>September 2022</w:t>
    </w:r>
  </w:p>
  <w:p w14:paraId="62A88450" w14:textId="1CD18CAD" w:rsidR="00AE35EE" w:rsidRDefault="00AE35EE" w:rsidP="00B04E40">
    <w:pPr>
      <w:pStyle w:val="Header"/>
      <w:spacing w:before="120"/>
      <w:jc w:val="both"/>
      <w:rPr>
        <w:b/>
        <w:u w:val="single"/>
      </w:rPr>
    </w:pPr>
    <w:r w:rsidRPr="00AE35EE">
      <w:rPr>
        <w:b/>
        <w:u w:val="single"/>
      </w:rPr>
      <w:t>Queensland Energy and Jobs Plan</w:t>
    </w:r>
  </w:p>
  <w:p w14:paraId="75E8E520" w14:textId="6370DE20" w:rsidR="00AE35EE" w:rsidRDefault="00AE35EE" w:rsidP="00B04E40">
    <w:pPr>
      <w:pStyle w:val="Header"/>
      <w:spacing w:before="120"/>
      <w:jc w:val="both"/>
      <w:rPr>
        <w:b/>
        <w:u w:val="single"/>
      </w:rPr>
    </w:pPr>
    <w:r w:rsidRPr="00AE35EE">
      <w:rPr>
        <w:b/>
        <w:u w:val="single"/>
      </w:rPr>
      <w:t>Minister for Energy, Renewables and Hydrogen and Minister for Public Works and Procurement</w:t>
    </w:r>
  </w:p>
  <w:p w14:paraId="02AAE454" w14:textId="77777777" w:rsidR="00AE35EE" w:rsidRDefault="00AE35EE" w:rsidP="00AE35EE">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EF07" w14:textId="60A77D22" w:rsidR="00EF6094" w:rsidRDefault="00EF6094">
    <w:pPr>
      <w:pStyle w:val="Header"/>
    </w:pPr>
    <w:r>
      <w:rPr>
        <w:noProof/>
      </w:rPr>
      <mc:AlternateContent>
        <mc:Choice Requires="wps">
          <w:drawing>
            <wp:anchor distT="0" distB="0" distL="0" distR="0" simplePos="0" relativeHeight="251658240" behindDoc="0" locked="0" layoutInCell="1" allowOverlap="1" wp14:anchorId="147862C3" wp14:editId="0717FDB5">
              <wp:simplePos x="635" y="635"/>
              <wp:positionH relativeFrom="page">
                <wp:align>center</wp:align>
              </wp:positionH>
              <wp:positionV relativeFrom="page">
                <wp:align>top</wp:align>
              </wp:positionV>
              <wp:extent cx="443865" cy="443865"/>
              <wp:effectExtent l="0" t="0" r="14605" b="13970"/>
              <wp:wrapNone/>
              <wp:docPr id="401262753"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43F00A" w14:textId="775C70F8" w:rsidR="00EF6094" w:rsidRPr="00EF6094" w:rsidRDefault="00EF6094" w:rsidP="00EF6094">
                          <w:pPr>
                            <w:rPr>
                              <w:rFonts w:ascii="Calibri" w:eastAsia="Calibri" w:hAnsi="Calibri" w:cs="Calibri"/>
                              <w:noProof/>
                              <w:color w:val="008000"/>
                              <w:sz w:val="40"/>
                              <w:szCs w:val="40"/>
                            </w:rPr>
                          </w:pPr>
                          <w:r w:rsidRPr="00EF6094">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47862C3"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0643F00A" w14:textId="775C70F8" w:rsidR="00EF6094" w:rsidRPr="00EF6094" w:rsidRDefault="00EF6094" w:rsidP="00EF6094">
                    <w:pPr>
                      <w:rPr>
                        <w:rFonts w:ascii="Calibri" w:eastAsia="Calibri" w:hAnsi="Calibri" w:cs="Calibri"/>
                        <w:noProof/>
                        <w:color w:val="008000"/>
                        <w:sz w:val="40"/>
                        <w:szCs w:val="40"/>
                      </w:rPr>
                    </w:pPr>
                    <w:r w:rsidRPr="00EF6094">
                      <w:rPr>
                        <w:rFonts w:ascii="Calibri" w:eastAsia="Calibri" w:hAnsi="Calibri" w:cs="Calibri"/>
                        <w:noProof/>
                        <w:color w:val="008000"/>
                        <w:sz w:val="40"/>
                        <w:szCs w:val="4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E6518"/>
    <w:multiLevelType w:val="hybridMultilevel"/>
    <w:tmpl w:val="DD162630"/>
    <w:lvl w:ilvl="0" w:tplc="260036DC">
      <w:numFmt w:val="bullet"/>
      <w:lvlText w:val="-"/>
      <w:lvlJc w:val="left"/>
      <w:pPr>
        <w:ind w:left="1042" w:hanging="360"/>
      </w:pPr>
      <w:rPr>
        <w:rFonts w:ascii="Arial" w:eastAsia="Arial" w:hAnsi="Arial" w:cs="Arial" w:hint="default"/>
      </w:rPr>
    </w:lvl>
    <w:lvl w:ilvl="1" w:tplc="0C090003" w:tentative="1">
      <w:start w:val="1"/>
      <w:numFmt w:val="bullet"/>
      <w:lvlText w:val="o"/>
      <w:lvlJc w:val="left"/>
      <w:pPr>
        <w:ind w:left="1762" w:hanging="360"/>
      </w:pPr>
      <w:rPr>
        <w:rFonts w:ascii="Courier New" w:hAnsi="Courier New" w:cs="Courier New" w:hint="default"/>
      </w:rPr>
    </w:lvl>
    <w:lvl w:ilvl="2" w:tplc="0C090005" w:tentative="1">
      <w:start w:val="1"/>
      <w:numFmt w:val="bullet"/>
      <w:lvlText w:val=""/>
      <w:lvlJc w:val="left"/>
      <w:pPr>
        <w:ind w:left="2482" w:hanging="360"/>
      </w:pPr>
      <w:rPr>
        <w:rFonts w:ascii="Wingdings" w:hAnsi="Wingdings" w:hint="default"/>
      </w:rPr>
    </w:lvl>
    <w:lvl w:ilvl="3" w:tplc="0C090001" w:tentative="1">
      <w:start w:val="1"/>
      <w:numFmt w:val="bullet"/>
      <w:lvlText w:val=""/>
      <w:lvlJc w:val="left"/>
      <w:pPr>
        <w:ind w:left="3202" w:hanging="360"/>
      </w:pPr>
      <w:rPr>
        <w:rFonts w:ascii="Symbol" w:hAnsi="Symbol" w:hint="default"/>
      </w:rPr>
    </w:lvl>
    <w:lvl w:ilvl="4" w:tplc="0C090003" w:tentative="1">
      <w:start w:val="1"/>
      <w:numFmt w:val="bullet"/>
      <w:lvlText w:val="o"/>
      <w:lvlJc w:val="left"/>
      <w:pPr>
        <w:ind w:left="3922" w:hanging="360"/>
      </w:pPr>
      <w:rPr>
        <w:rFonts w:ascii="Courier New" w:hAnsi="Courier New" w:cs="Courier New" w:hint="default"/>
      </w:rPr>
    </w:lvl>
    <w:lvl w:ilvl="5" w:tplc="0C090005" w:tentative="1">
      <w:start w:val="1"/>
      <w:numFmt w:val="bullet"/>
      <w:lvlText w:val=""/>
      <w:lvlJc w:val="left"/>
      <w:pPr>
        <w:ind w:left="4642" w:hanging="360"/>
      </w:pPr>
      <w:rPr>
        <w:rFonts w:ascii="Wingdings" w:hAnsi="Wingdings" w:hint="default"/>
      </w:rPr>
    </w:lvl>
    <w:lvl w:ilvl="6" w:tplc="0C090001" w:tentative="1">
      <w:start w:val="1"/>
      <w:numFmt w:val="bullet"/>
      <w:lvlText w:val=""/>
      <w:lvlJc w:val="left"/>
      <w:pPr>
        <w:ind w:left="5362" w:hanging="360"/>
      </w:pPr>
      <w:rPr>
        <w:rFonts w:ascii="Symbol" w:hAnsi="Symbol" w:hint="default"/>
      </w:rPr>
    </w:lvl>
    <w:lvl w:ilvl="7" w:tplc="0C090003" w:tentative="1">
      <w:start w:val="1"/>
      <w:numFmt w:val="bullet"/>
      <w:lvlText w:val="o"/>
      <w:lvlJc w:val="left"/>
      <w:pPr>
        <w:ind w:left="6082" w:hanging="360"/>
      </w:pPr>
      <w:rPr>
        <w:rFonts w:ascii="Courier New" w:hAnsi="Courier New" w:cs="Courier New" w:hint="default"/>
      </w:rPr>
    </w:lvl>
    <w:lvl w:ilvl="8" w:tplc="0C090005" w:tentative="1">
      <w:start w:val="1"/>
      <w:numFmt w:val="bullet"/>
      <w:lvlText w:val=""/>
      <w:lvlJc w:val="left"/>
      <w:pPr>
        <w:ind w:left="6802" w:hanging="360"/>
      </w:pPr>
      <w:rPr>
        <w:rFonts w:ascii="Wingdings" w:hAnsi="Wingdings" w:hint="default"/>
      </w:rPr>
    </w:lvl>
  </w:abstractNum>
  <w:abstractNum w:abstractNumId="1" w15:restartNumberingAfterBreak="0">
    <w:nsid w:val="4CE1275B"/>
    <w:multiLevelType w:val="hybridMultilevel"/>
    <w:tmpl w:val="58FC4870"/>
    <w:lvl w:ilvl="0" w:tplc="4910519E">
      <w:start w:val="1"/>
      <w:numFmt w:val="decimal"/>
      <w:lvlText w:val="%1."/>
      <w:lvlJc w:val="left"/>
      <w:pPr>
        <w:ind w:left="684" w:hanging="360"/>
      </w:pPr>
      <w:rPr>
        <w:rFonts w:ascii="Arial" w:eastAsia="Arial" w:hAnsi="Arial" w:cs="Arial" w:hint="default"/>
        <w:i w:val="0"/>
        <w:iCs/>
        <w:spacing w:val="-1"/>
        <w:w w:val="100"/>
        <w:sz w:val="22"/>
        <w:szCs w:val="22"/>
        <w:lang w:val="en-AU" w:eastAsia="en-AU" w:bidi="en-AU"/>
      </w:rPr>
    </w:lvl>
    <w:lvl w:ilvl="1" w:tplc="51CEAC8C">
      <w:numFmt w:val="bullet"/>
      <w:lvlText w:val=""/>
      <w:lvlJc w:val="left"/>
      <w:pPr>
        <w:ind w:left="1136" w:hanging="454"/>
      </w:pPr>
      <w:rPr>
        <w:rFonts w:ascii="Symbol" w:eastAsia="Symbol" w:hAnsi="Symbol" w:cs="Symbol" w:hint="default"/>
        <w:w w:val="100"/>
        <w:sz w:val="23"/>
        <w:szCs w:val="23"/>
        <w:lang w:val="en-AU" w:eastAsia="en-AU" w:bidi="en-AU"/>
      </w:rPr>
    </w:lvl>
    <w:lvl w:ilvl="2" w:tplc="09787CB4">
      <w:numFmt w:val="bullet"/>
      <w:lvlText w:val="•"/>
      <w:lvlJc w:val="left"/>
      <w:pPr>
        <w:ind w:left="2082" w:hanging="454"/>
      </w:pPr>
      <w:rPr>
        <w:rFonts w:hint="default"/>
        <w:lang w:val="en-AU" w:eastAsia="en-AU" w:bidi="en-AU"/>
      </w:rPr>
    </w:lvl>
    <w:lvl w:ilvl="3" w:tplc="98DCBA2E">
      <w:numFmt w:val="bullet"/>
      <w:lvlText w:val="•"/>
      <w:lvlJc w:val="left"/>
      <w:pPr>
        <w:ind w:left="3025" w:hanging="454"/>
      </w:pPr>
      <w:rPr>
        <w:rFonts w:hint="default"/>
        <w:lang w:val="en-AU" w:eastAsia="en-AU" w:bidi="en-AU"/>
      </w:rPr>
    </w:lvl>
    <w:lvl w:ilvl="4" w:tplc="145A1C2A">
      <w:numFmt w:val="bullet"/>
      <w:lvlText w:val="•"/>
      <w:lvlJc w:val="left"/>
      <w:pPr>
        <w:ind w:left="3968" w:hanging="454"/>
      </w:pPr>
      <w:rPr>
        <w:rFonts w:hint="default"/>
        <w:lang w:val="en-AU" w:eastAsia="en-AU" w:bidi="en-AU"/>
      </w:rPr>
    </w:lvl>
    <w:lvl w:ilvl="5" w:tplc="F2E24A04">
      <w:numFmt w:val="bullet"/>
      <w:lvlText w:val="•"/>
      <w:lvlJc w:val="left"/>
      <w:pPr>
        <w:ind w:left="4911" w:hanging="454"/>
      </w:pPr>
      <w:rPr>
        <w:rFonts w:hint="default"/>
        <w:lang w:val="en-AU" w:eastAsia="en-AU" w:bidi="en-AU"/>
      </w:rPr>
    </w:lvl>
    <w:lvl w:ilvl="6" w:tplc="ED0202D0">
      <w:numFmt w:val="bullet"/>
      <w:lvlText w:val="•"/>
      <w:lvlJc w:val="left"/>
      <w:pPr>
        <w:ind w:left="5854" w:hanging="454"/>
      </w:pPr>
      <w:rPr>
        <w:rFonts w:hint="default"/>
        <w:lang w:val="en-AU" w:eastAsia="en-AU" w:bidi="en-AU"/>
      </w:rPr>
    </w:lvl>
    <w:lvl w:ilvl="7" w:tplc="3FDC2C2C">
      <w:numFmt w:val="bullet"/>
      <w:lvlText w:val="•"/>
      <w:lvlJc w:val="left"/>
      <w:pPr>
        <w:ind w:left="6797" w:hanging="454"/>
      </w:pPr>
      <w:rPr>
        <w:rFonts w:hint="default"/>
        <w:lang w:val="en-AU" w:eastAsia="en-AU" w:bidi="en-AU"/>
      </w:rPr>
    </w:lvl>
    <w:lvl w:ilvl="8" w:tplc="142E7476">
      <w:numFmt w:val="bullet"/>
      <w:lvlText w:val="•"/>
      <w:lvlJc w:val="left"/>
      <w:pPr>
        <w:ind w:left="7740" w:hanging="454"/>
      </w:pPr>
      <w:rPr>
        <w:rFonts w:hint="default"/>
        <w:lang w:val="en-AU" w:eastAsia="en-AU" w:bidi="en-AU"/>
      </w:rPr>
    </w:lvl>
  </w:abstractNum>
  <w:num w:numId="1" w16cid:durableId="1580943724">
    <w:abstractNumId w:val="1"/>
  </w:num>
  <w:num w:numId="2" w16cid:durableId="1012806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2D"/>
    <w:rsid w:val="000415BC"/>
    <w:rsid w:val="00386A2D"/>
    <w:rsid w:val="00510E5D"/>
    <w:rsid w:val="00532AF5"/>
    <w:rsid w:val="006B0D0C"/>
    <w:rsid w:val="006D4145"/>
    <w:rsid w:val="006F62BA"/>
    <w:rsid w:val="00705C37"/>
    <w:rsid w:val="008101CF"/>
    <w:rsid w:val="00892C26"/>
    <w:rsid w:val="00A2499F"/>
    <w:rsid w:val="00A621A9"/>
    <w:rsid w:val="00AD5B68"/>
    <w:rsid w:val="00AE35EE"/>
    <w:rsid w:val="00B04E40"/>
    <w:rsid w:val="00BB49A1"/>
    <w:rsid w:val="00BD7083"/>
    <w:rsid w:val="00EF6094"/>
    <w:rsid w:val="00FD0612"/>
    <w:rsid w:val="08EA2B6A"/>
    <w:rsid w:val="13D02C6A"/>
    <w:rsid w:val="396EA53E"/>
    <w:rsid w:val="4D56E789"/>
    <w:rsid w:val="5C551FC8"/>
    <w:rsid w:val="5EA0E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0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spacing w:before="93"/>
      <w:ind w:left="324"/>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4" w:hanging="360"/>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val="en-AU" w:eastAsia="en-AU" w:bidi="en-AU"/>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532AF5"/>
    <w:rPr>
      <w:color w:val="0000FF" w:themeColor="hyperlink"/>
      <w:u w:val="single"/>
    </w:rPr>
  </w:style>
  <w:style w:type="character" w:styleId="UnresolvedMention">
    <w:name w:val="Unresolved Mention"/>
    <w:basedOn w:val="DefaultParagraphFont"/>
    <w:uiPriority w:val="99"/>
    <w:semiHidden/>
    <w:unhideWhenUsed/>
    <w:rsid w:val="00532AF5"/>
    <w:rPr>
      <w:color w:val="605E5C"/>
      <w:shd w:val="clear" w:color="auto" w:fill="E1DFDD"/>
    </w:rPr>
  </w:style>
  <w:style w:type="character" w:styleId="FollowedHyperlink">
    <w:name w:val="FollowedHyperlink"/>
    <w:basedOn w:val="DefaultParagraphFont"/>
    <w:uiPriority w:val="99"/>
    <w:semiHidden/>
    <w:unhideWhenUsed/>
    <w:rsid w:val="00532AF5"/>
    <w:rPr>
      <w:color w:val="800080" w:themeColor="followedHyperlink"/>
      <w:u w:val="single"/>
    </w:rPr>
  </w:style>
  <w:style w:type="paragraph" w:styleId="Revision">
    <w:name w:val="Revision"/>
    <w:hidden/>
    <w:uiPriority w:val="99"/>
    <w:semiHidden/>
    <w:rsid w:val="00AE35EE"/>
    <w:pPr>
      <w:widowControl/>
      <w:autoSpaceDE/>
      <w:autoSpaceDN/>
    </w:pPr>
    <w:rPr>
      <w:rFonts w:ascii="Arial" w:eastAsia="Arial" w:hAnsi="Arial" w:cs="Arial"/>
      <w:lang w:val="en-AU" w:eastAsia="en-AU" w:bidi="en-AU"/>
    </w:rPr>
  </w:style>
  <w:style w:type="paragraph" w:styleId="Header">
    <w:name w:val="header"/>
    <w:basedOn w:val="Normal"/>
    <w:link w:val="HeaderChar"/>
    <w:uiPriority w:val="99"/>
    <w:unhideWhenUsed/>
    <w:rsid w:val="00AE35EE"/>
    <w:pPr>
      <w:tabs>
        <w:tab w:val="center" w:pos="4680"/>
        <w:tab w:val="right" w:pos="9360"/>
      </w:tabs>
    </w:pPr>
  </w:style>
  <w:style w:type="character" w:customStyle="1" w:styleId="HeaderChar">
    <w:name w:val="Header Char"/>
    <w:basedOn w:val="DefaultParagraphFont"/>
    <w:link w:val="Header"/>
    <w:uiPriority w:val="99"/>
    <w:rsid w:val="00AE35EE"/>
    <w:rPr>
      <w:rFonts w:ascii="Arial" w:eastAsia="Arial" w:hAnsi="Arial" w:cs="Arial"/>
      <w:lang w:val="en-AU" w:eastAsia="en-AU" w:bidi="en-AU"/>
    </w:rPr>
  </w:style>
  <w:style w:type="paragraph" w:styleId="Footer">
    <w:name w:val="footer"/>
    <w:basedOn w:val="Normal"/>
    <w:link w:val="FooterChar"/>
    <w:uiPriority w:val="99"/>
    <w:unhideWhenUsed/>
    <w:rsid w:val="00AE35EE"/>
    <w:pPr>
      <w:tabs>
        <w:tab w:val="center" w:pos="4680"/>
        <w:tab w:val="right" w:pos="9360"/>
      </w:tabs>
    </w:pPr>
  </w:style>
  <w:style w:type="character" w:customStyle="1" w:styleId="FooterChar">
    <w:name w:val="Footer Char"/>
    <w:basedOn w:val="DefaultParagraphFont"/>
    <w:link w:val="Footer"/>
    <w:uiPriority w:val="99"/>
    <w:rsid w:val="00AE35EE"/>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pcqld.sharepoint.com/sites/DPC-CABINETSERVICES/Shared%20Documents/General/Proactive%20Release/ToBeProcessed/2022/Sep/QEJP/Attachments/Modelling.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pcqld.sharepoint.com/sites/DPC-CABINETSERVICES/Shared%20Documents/General/Proactive%20Release/ToBeProcessed/2022/Sep/QEJP/Attachments/Summary.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pcqld.sharepoint.com/sites/DPC-CABINETSERVICES/Shared%20Documents/General/Proactive%20Release/ToBeProcessed/2022/Sep/QEJP/Attachments/Blueprint.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dpcqld.sharepoint.com/sites/DPC-CABINETSERVICES/Shared%20Documents/General/Proactive%20Release/ToBeProcessed/2022/Sep/QEJP/Attachments/Plan.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pcqld.sharepoint.com/sites/DPC-CABINETSERVICES/Shared%20Documents/General/Proactive%20Release/ToBeProcessed/2022/Sep/QEJP/Attachments/Grow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7" ma:contentTypeDescription="Create a new document." ma:contentTypeScope="" ma:versionID="af6f5430eb7d810b497d2a680f43df08">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9e5b09456ee92f63c793c2b07d46b7f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Props1.xml><?xml version="1.0" encoding="utf-8"?>
<ds:datastoreItem xmlns:ds="http://schemas.openxmlformats.org/officeDocument/2006/customXml" ds:itemID="{4A1C87A3-C904-4CE3-909B-A932EB20B69E}">
  <ds:schemaRefs>
    <ds:schemaRef ds:uri="http://schemas.microsoft.com/sharepoint/v3/contenttype/forms"/>
  </ds:schemaRefs>
</ds:datastoreItem>
</file>

<file path=customXml/itemProps2.xml><?xml version="1.0" encoding="utf-8"?>
<ds:datastoreItem xmlns:ds="http://schemas.openxmlformats.org/officeDocument/2006/customXml" ds:itemID="{013A2B28-6A1C-4313-98D8-0A62D5D24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A9CF4-6557-44DD-90AE-2E9840C9CFC3}">
  <ds:schemaRefs>
    <ds:schemaRef ds:uri="http://purl.org/dc/elements/1.1/"/>
    <ds:schemaRef ds:uri="http://schemas.openxmlformats.org/package/2006/metadata/core-properties"/>
    <ds:schemaRef ds:uri="http://schemas.microsoft.com/office/infopath/2007/PartnerControls"/>
    <ds:schemaRef ds:uri="b8ed82f2-f7bd-423c-8698-5e132afe9245"/>
    <ds:schemaRef ds:uri="http://purl.org/dc/terms/"/>
    <ds:schemaRef ds:uri="63e311de-a790-43ff-be63-577c26c7507c"/>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2735</TotalTime>
  <Pages>1</Pages>
  <Words>416</Words>
  <Characters>2422</Characters>
  <Application>Microsoft Office Word</Application>
  <DocSecurity>0</DocSecurity>
  <Lines>40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Base>https://www.cabinet.qld.gov.au/documents/2022/Sep/QEJP/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7</cp:revision>
  <cp:lastPrinted>2022-12-22T02:31:00Z</cp:lastPrinted>
  <dcterms:created xsi:type="dcterms:W3CDTF">2022-12-22T02:53:00Z</dcterms:created>
  <dcterms:modified xsi:type="dcterms:W3CDTF">2023-08-03T22:32:00Z</dcterms:modified>
  <cp:category>Employment,Energy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2022-09-25T00:00:00Z</vt:filetime>
  </property>
  <property fmtid="{D5CDD505-2E9C-101B-9397-08002B2CF9AE}" pid="3" name="Creator">
    <vt:lpwstr>Acrobat PDFMaker 17 for Word</vt:lpwstr>
  </property>
  <property fmtid="{D5CDD505-2E9C-101B-9397-08002B2CF9AE}" pid="4" name="LastSaved">
    <vt:filetime>2022-12-12T00:00:00Z</vt:filetime>
  </property>
  <property fmtid="{D5CDD505-2E9C-101B-9397-08002B2CF9AE}" pid="5" name="ContentTypeId">
    <vt:lpwstr>0x01010031A619342382A34B8179BF0972208310</vt:lpwstr>
  </property>
  <property fmtid="{D5CDD505-2E9C-101B-9397-08002B2CF9AE}" pid="6" name="MediaServiceImageTags">
    <vt:lpwstr/>
  </property>
  <property fmtid="{D5CDD505-2E9C-101B-9397-08002B2CF9AE}" pid="7" name="ClassificationContentMarkingHeaderShapeIds">
    <vt:lpwstr>17eac8a1,2abbe354,59d9ae84</vt:lpwstr>
  </property>
  <property fmtid="{D5CDD505-2E9C-101B-9397-08002B2CF9AE}" pid="8" name="ClassificationContentMarkingHeaderFontProps">
    <vt:lpwstr>#008000,20,Calibri</vt:lpwstr>
  </property>
  <property fmtid="{D5CDD505-2E9C-101B-9397-08002B2CF9AE}" pid="9" name="ClassificationContentMarkingHeaderText">
    <vt:lpwstr>OFFICIAL</vt:lpwstr>
  </property>
  <property fmtid="{D5CDD505-2E9C-101B-9397-08002B2CF9AE}" pid="10" name="MSIP_Label_dbba12b5-5c44-45c1-8d23-ce231b9c6da8_Enabled">
    <vt:lpwstr>true</vt:lpwstr>
  </property>
  <property fmtid="{D5CDD505-2E9C-101B-9397-08002B2CF9AE}" pid="11" name="MSIP_Label_dbba12b5-5c44-45c1-8d23-ce231b9c6da8_SetDate">
    <vt:lpwstr>2023-08-03T22:32:08Z</vt:lpwstr>
  </property>
  <property fmtid="{D5CDD505-2E9C-101B-9397-08002B2CF9AE}" pid="12" name="MSIP_Label_dbba12b5-5c44-45c1-8d23-ce231b9c6da8_Method">
    <vt:lpwstr>Standard</vt:lpwstr>
  </property>
  <property fmtid="{D5CDD505-2E9C-101B-9397-08002B2CF9AE}" pid="13" name="MSIP_Label_dbba12b5-5c44-45c1-8d23-ce231b9c6da8_Name">
    <vt:lpwstr>OFFICIAL-PILOT</vt:lpwstr>
  </property>
  <property fmtid="{D5CDD505-2E9C-101B-9397-08002B2CF9AE}" pid="14" name="MSIP_Label_dbba12b5-5c44-45c1-8d23-ce231b9c6da8_SiteId">
    <vt:lpwstr>51778d2a-a6ab-4c76-97dc-782782d65046</vt:lpwstr>
  </property>
  <property fmtid="{D5CDD505-2E9C-101B-9397-08002B2CF9AE}" pid="15" name="MSIP_Label_dbba12b5-5c44-45c1-8d23-ce231b9c6da8_ActionId">
    <vt:lpwstr>0c8077d6-42f2-4920-8f4b-38b455b5f1f5</vt:lpwstr>
  </property>
  <property fmtid="{D5CDD505-2E9C-101B-9397-08002B2CF9AE}" pid="16" name="MSIP_Label_dbba12b5-5c44-45c1-8d23-ce231b9c6da8_ContentBits">
    <vt:lpwstr>1</vt:lpwstr>
  </property>
</Properties>
</file>